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3E" w:rsidRDefault="0081591A">
      <w:pPr>
        <w:pStyle w:val="BodyText"/>
        <w:spacing w:line="20" w:lineRule="exact"/>
        <w:ind w:left="51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081770" cy="762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1770" cy="7620"/>
                          <a:chOff x="0" y="0"/>
                          <a:chExt cx="14302" cy="12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43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5CD20" id="Group 10" o:spid="_x0000_s1026" style="width:715.1pt;height:.6pt;mso-position-horizontal-relative:char;mso-position-vertical-relative:line" coordsize="14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">
                <v:line id="Line 11" o:spid="_x0000_s1027" style="position:absolute;visibility:visible;mso-wrap-style:square" from="0,6" to="143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>
                  <o:lock v:ext="edit" shapetype="f"/>
                </v:line>
                <w10:anchorlock/>
              </v:group>
            </w:pict>
          </mc:Fallback>
        </mc:AlternateContent>
      </w:r>
    </w:p>
    <w:p w:rsidR="0011663E" w:rsidRDefault="0081591A">
      <w:pPr>
        <w:spacing w:before="21"/>
        <w:ind w:left="5016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300990</wp:posOffset>
                </wp:positionV>
                <wp:extent cx="9081135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811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A507" id="Line 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3pt,23.7pt" to="753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" strokeweight=".6pt">
                <o:lock v:ext="edit" shapetype="f"/>
                <w10:wrap type="topAndBottom" anchorx="page"/>
              </v:line>
            </w:pict>
          </mc:Fallback>
        </mc:AlternateContent>
      </w:r>
      <w:r w:rsidR="00FC1651">
        <w:rPr>
          <w:b/>
          <w:sz w:val="32"/>
        </w:rPr>
        <w:t>Area Council Best Practices Score Sheet</w:t>
      </w:r>
    </w:p>
    <w:p w:rsidR="0011663E" w:rsidRDefault="00FC1651">
      <w:pPr>
        <w:spacing w:before="76"/>
        <w:ind w:left="2702"/>
        <w:rPr>
          <w:b/>
          <w:sz w:val="18"/>
        </w:rPr>
      </w:pPr>
      <w:r>
        <w:rPr>
          <w:b/>
          <w:color w:val="1F3864"/>
          <w:sz w:val="18"/>
        </w:rPr>
        <w:t xml:space="preserve">Score 1‐5 with </w:t>
      </w:r>
      <w:r>
        <w:rPr>
          <w:b/>
          <w:color w:val="1F3864"/>
          <w:sz w:val="18"/>
          <w:u w:val="single" w:color="1F3864"/>
        </w:rPr>
        <w:t>5 fully meeting or exceeding</w:t>
      </w:r>
      <w:r>
        <w:rPr>
          <w:b/>
          <w:color w:val="1F3864"/>
          <w:sz w:val="18"/>
        </w:rPr>
        <w:t xml:space="preserve"> the Practice, </w:t>
      </w:r>
      <w:r>
        <w:rPr>
          <w:b/>
          <w:color w:val="1F3864"/>
          <w:sz w:val="18"/>
          <w:u w:val="single" w:color="1F3864"/>
        </w:rPr>
        <w:t>4 almost meeting</w:t>
      </w:r>
      <w:r>
        <w:rPr>
          <w:b/>
          <w:color w:val="1F3864"/>
          <w:sz w:val="18"/>
        </w:rPr>
        <w:t xml:space="preserve">, </w:t>
      </w:r>
      <w:r>
        <w:rPr>
          <w:b/>
          <w:color w:val="1F3864"/>
          <w:sz w:val="18"/>
          <w:u w:val="single" w:color="1F3864"/>
        </w:rPr>
        <w:t>3 somewhat meeting</w:t>
      </w:r>
      <w:r>
        <w:rPr>
          <w:b/>
          <w:color w:val="1F3864"/>
          <w:sz w:val="18"/>
        </w:rPr>
        <w:t xml:space="preserve">, </w:t>
      </w:r>
      <w:r>
        <w:rPr>
          <w:b/>
          <w:color w:val="1F3864"/>
          <w:sz w:val="18"/>
          <w:u w:val="single" w:color="1F3864"/>
        </w:rPr>
        <w:t>2 doing only minima</w:t>
      </w:r>
      <w:r>
        <w:rPr>
          <w:b/>
          <w:color w:val="1F3864"/>
          <w:sz w:val="18"/>
        </w:rPr>
        <w:t xml:space="preserve">l and </w:t>
      </w:r>
      <w:r>
        <w:rPr>
          <w:b/>
          <w:color w:val="1F3864"/>
          <w:sz w:val="18"/>
          <w:u w:val="single" w:color="1F3864"/>
        </w:rPr>
        <w:t>1 not meeting</w:t>
      </w:r>
      <w:r>
        <w:rPr>
          <w:b/>
          <w:color w:val="1F3864"/>
          <w:sz w:val="18"/>
        </w:rPr>
        <w:t>.</w:t>
      </w:r>
    </w:p>
    <w:p w:rsidR="0011663E" w:rsidRDefault="0011663E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52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2765"/>
        <w:gridCol w:w="1039"/>
      </w:tblGrid>
      <w:tr w:rsidR="0011663E">
        <w:trPr>
          <w:trHeight w:val="187"/>
        </w:trPr>
        <w:tc>
          <w:tcPr>
            <w:tcW w:w="1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/>
          </w:tcPr>
          <w:p w:rsidR="0011663E" w:rsidRDefault="00FC1651">
            <w:pPr>
              <w:pStyle w:val="TableParagraph"/>
              <w:spacing w:before="10" w:line="157" w:lineRule="exact"/>
              <w:ind w:left="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Governance and Leadership</w:t>
            </w:r>
          </w:p>
        </w:tc>
      </w:tr>
      <w:tr w:rsidR="0011663E">
        <w:trPr>
          <w:trHeight w:val="180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1166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5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left="5908" w:right="58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BEST PRACTICE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Score (1‐5)</w:t>
            </w:r>
          </w:p>
        </w:tc>
      </w:tr>
      <w:tr w:rsidR="0011663E">
        <w:trPr>
          <w:trHeight w:val="359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50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2765" w:type="dxa"/>
          </w:tcPr>
          <w:p w:rsidR="0011663E" w:rsidRDefault="0081591A" w:rsidP="00FC6327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 xml:space="preserve">Area Council By-Laws or Standard Operating Procedures exist that identifies key positions, </w:t>
            </w:r>
            <w:r w:rsidR="00FC6327">
              <w:rPr>
                <w:w w:val="105"/>
                <w:sz w:val="14"/>
              </w:rPr>
              <w:t xml:space="preserve">terms of office, </w:t>
            </w:r>
            <w:r>
              <w:rPr>
                <w:w w:val="105"/>
                <w:sz w:val="14"/>
              </w:rPr>
              <w:t xml:space="preserve">succession language </w:t>
            </w:r>
            <w:r w:rsidR="00FC1651">
              <w:rPr>
                <w:w w:val="105"/>
                <w:sz w:val="14"/>
              </w:rPr>
              <w:t>(e.g., Area Council Chair, Vice Chair, Executive Secretary, Treasurer, and other officers as needed) for the next 2+ years (present and</w:t>
            </w:r>
            <w:r>
              <w:rPr>
                <w:w w:val="105"/>
                <w:sz w:val="14"/>
              </w:rPr>
              <w:t xml:space="preserve"> incoming).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40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41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2765" w:type="dxa"/>
            <w:shd w:val="clear" w:color="auto" w:fill="D9D9D9"/>
          </w:tcPr>
          <w:p w:rsidR="0011663E" w:rsidRDefault="00FC6327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At least</w:t>
            </w:r>
            <w:r w:rsidR="0081591A">
              <w:rPr>
                <w:w w:val="105"/>
                <w:sz w:val="14"/>
              </w:rPr>
              <w:t xml:space="preserve"> 9</w:t>
            </w:r>
            <w:r w:rsidR="00FC1651">
              <w:rPr>
                <w:w w:val="105"/>
                <w:sz w:val="14"/>
              </w:rPr>
              <w:t>0% of Area Council organizations have identified an Area Council Liaison</w:t>
            </w:r>
            <w:r w:rsidR="00BF6F0E">
              <w:rPr>
                <w:w w:val="105"/>
                <w:sz w:val="14"/>
              </w:rPr>
              <w:t xml:space="preserve"> (Board Chair,</w:t>
            </w:r>
            <w:r w:rsidR="0081591A">
              <w:rPr>
                <w:w w:val="105"/>
                <w:sz w:val="14"/>
              </w:rPr>
              <w:t xml:space="preserve"> Vice Chair or board member from the Executive Board)</w:t>
            </w:r>
            <w:r w:rsidR="00FC1651">
              <w:rPr>
                <w:w w:val="105"/>
                <w:sz w:val="14"/>
              </w:rPr>
              <w:t xml:space="preserve"> who is </w:t>
            </w:r>
            <w:r w:rsidR="00BF6F0E">
              <w:rPr>
                <w:w w:val="105"/>
                <w:sz w:val="14"/>
              </w:rPr>
              <w:t xml:space="preserve">engaged in the work of </w:t>
            </w:r>
            <w:proofErr w:type="gramStart"/>
            <w:r w:rsidR="00BF6F0E">
              <w:rPr>
                <w:w w:val="105"/>
                <w:sz w:val="14"/>
              </w:rPr>
              <w:t xml:space="preserve">the </w:t>
            </w:r>
            <w:r w:rsidR="00FC1651">
              <w:rPr>
                <w:w w:val="105"/>
                <w:sz w:val="14"/>
              </w:rPr>
              <w:t xml:space="preserve"> Area</w:t>
            </w:r>
            <w:proofErr w:type="gramEnd"/>
            <w:r w:rsidR="00FC1651">
              <w:rPr>
                <w:w w:val="105"/>
                <w:sz w:val="14"/>
              </w:rPr>
              <w:t xml:space="preserve"> Council.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59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50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National Area Council Committee Member participates in the planning meeting and the annual meeting by sharing information on the strategic direction of the Boys &amp; Girls Club Movement and other key topics</w:t>
            </w:r>
          </w:p>
          <w:p w:rsidR="0011663E" w:rsidRDefault="00FC1651">
            <w:pPr>
              <w:pStyle w:val="TableParagraph"/>
              <w:spacing w:before="16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impacting the Movement.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59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50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2765" w:type="dxa"/>
            <w:shd w:val="clear" w:color="auto" w:fill="D9D9D9"/>
          </w:tcPr>
          <w:p w:rsidR="0011663E" w:rsidRDefault="00FC1651" w:rsidP="00FC6327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Organizational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Development,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Council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Committee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member,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Chair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Executive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Secretary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conduct</w:t>
            </w:r>
            <w:r w:rsidR="00BF6F0E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 w:rsidR="00BF6F0E">
              <w:rPr>
                <w:spacing w:val="-8"/>
                <w:w w:val="105"/>
                <w:sz w:val="14"/>
              </w:rPr>
              <w:t xml:space="preserve">n </w:t>
            </w:r>
            <w:r w:rsidR="00FC6327">
              <w:rPr>
                <w:spacing w:val="-8"/>
                <w:w w:val="105"/>
                <w:sz w:val="14"/>
              </w:rPr>
              <w:t xml:space="preserve">Area Council </w:t>
            </w:r>
            <w:r>
              <w:rPr>
                <w:w w:val="105"/>
                <w:sz w:val="14"/>
              </w:rPr>
              <w:t>review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 w:rsidR="005203CC">
              <w:rPr>
                <w:spacing w:val="-9"/>
                <w:w w:val="105"/>
                <w:sz w:val="14"/>
              </w:rPr>
              <w:t xml:space="preserve">Area Council Performance </w:t>
            </w:r>
            <w:r>
              <w:rPr>
                <w:w w:val="105"/>
                <w:sz w:val="14"/>
              </w:rPr>
              <w:t>using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 w:rsidR="0081591A">
              <w:rPr>
                <w:w w:val="105"/>
                <w:sz w:val="14"/>
              </w:rPr>
              <w:t xml:space="preserve">approved Area Council assessment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Councils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least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two</w:t>
            </w:r>
            <w:r w:rsidR="00FC6327">
              <w:rPr>
                <w:sz w:val="14"/>
              </w:rPr>
              <w:t xml:space="preserve"> years.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59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50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Policies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regarding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finances;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policies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reviewed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least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annually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shared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membership.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reports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receipts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expenses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written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discussed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</w:p>
          <w:p w:rsidR="0011663E" w:rsidRDefault="00FC1651">
            <w:pPr>
              <w:pStyle w:val="TableParagraph"/>
              <w:spacing w:before="16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approved as necessary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59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50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2765" w:type="dxa"/>
            <w:shd w:val="clear" w:color="auto" w:fill="D9D9D9"/>
          </w:tcPr>
          <w:p w:rsidR="0011663E" w:rsidRDefault="00FC1651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Council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sets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strategic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2‐3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years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long</w:t>
            </w:r>
            <w:r w:rsidR="00BF6F0E">
              <w:rPr>
                <w:spacing w:val="-8"/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>range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priorities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become</w:t>
            </w:r>
            <w:r w:rsidR="00FC6327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Chart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Work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Council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membership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leadership.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Where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appropriate,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alignment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State</w:t>
            </w:r>
          </w:p>
          <w:p w:rsidR="0011663E" w:rsidRDefault="00FC1651">
            <w:pPr>
              <w:pStyle w:val="TableParagraph"/>
              <w:spacing w:before="16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Alliances will be critical.</w:t>
            </w:r>
            <w:r w:rsidR="00F427A7">
              <w:rPr>
                <w:w w:val="105"/>
                <w:sz w:val="14"/>
              </w:rPr>
              <w:t xml:space="preserve">  90% of Area Council organizations vote in National matters.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178"/>
        </w:trPr>
        <w:tc>
          <w:tcPr>
            <w:tcW w:w="14298" w:type="dxa"/>
            <w:gridSpan w:val="3"/>
            <w:tcBorders>
              <w:left w:val="nil"/>
              <w:bottom w:val="nil"/>
              <w:right w:val="nil"/>
            </w:tcBorders>
            <w:shd w:val="clear" w:color="auto" w:fill="44546A"/>
          </w:tcPr>
          <w:p w:rsidR="0011663E" w:rsidRDefault="00FC1651">
            <w:pPr>
              <w:pStyle w:val="TableParagraph"/>
              <w:spacing w:before="2" w:line="156" w:lineRule="exact"/>
              <w:ind w:left="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Meetings and Conferences</w:t>
            </w:r>
          </w:p>
        </w:tc>
      </w:tr>
      <w:tr w:rsidR="0011663E">
        <w:trPr>
          <w:trHeight w:val="180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1166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5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left="5910" w:right="58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BEST PRACTICE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Score (1‐5)</w:t>
            </w:r>
          </w:p>
        </w:tc>
      </w:tr>
      <w:tr w:rsidR="0011663E">
        <w:trPr>
          <w:trHeight w:val="340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41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</w:t>
            </w:r>
            <w:r w:rsidR="00B06351">
              <w:rPr>
                <w:w w:val="105"/>
                <w:sz w:val="14"/>
              </w:rPr>
              <w:t>he Area Council holds at least 4</w:t>
            </w:r>
            <w:r>
              <w:rPr>
                <w:w w:val="105"/>
                <w:sz w:val="14"/>
              </w:rPr>
              <w:t xml:space="preserve"> meetings per year</w:t>
            </w:r>
            <w:r w:rsidR="00B06351">
              <w:rPr>
                <w:w w:val="105"/>
                <w:sz w:val="14"/>
              </w:rPr>
              <w:t xml:space="preserve"> (one face to face)</w:t>
            </w:r>
            <w:r>
              <w:rPr>
                <w:w w:val="105"/>
                <w:sz w:val="14"/>
              </w:rPr>
              <w:t>, plus one or more of the following supported activities: Youth of the Year; All‐Staff Trainings, Cluster Trainings, etc.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59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50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765" w:type="dxa"/>
            <w:shd w:val="clear" w:color="auto" w:fill="D9D9D9"/>
          </w:tcPr>
          <w:p w:rsidR="0011663E" w:rsidRDefault="00FC1651" w:rsidP="00B06351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meeting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provides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minimum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hours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learning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(general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B06351">
              <w:rPr>
                <w:w w:val="105"/>
                <w:sz w:val="14"/>
              </w:rPr>
              <w:t>and/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concurrent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sessions),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B06351">
              <w:rPr>
                <w:spacing w:val="-7"/>
                <w:w w:val="105"/>
                <w:sz w:val="14"/>
              </w:rPr>
              <w:t xml:space="preserve">including Board Chair or Board Academy, training workshops and </w:t>
            </w:r>
            <w:r>
              <w:rPr>
                <w:w w:val="105"/>
                <w:sz w:val="14"/>
              </w:rPr>
              <w:t>roundtables</w:t>
            </w:r>
            <w:r w:rsidR="00B06351">
              <w:rPr>
                <w:w w:val="105"/>
                <w:sz w:val="14"/>
              </w:rPr>
              <w:t>.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leaders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active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B06351">
              <w:rPr>
                <w:spacing w:val="-7"/>
                <w:w w:val="105"/>
                <w:sz w:val="14"/>
              </w:rPr>
              <w:t xml:space="preserve">planning, </w:t>
            </w:r>
            <w:r>
              <w:rPr>
                <w:w w:val="105"/>
                <w:sz w:val="14"/>
              </w:rPr>
              <w:t>presenting,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facilitating</w:t>
            </w:r>
            <w:r w:rsidR="00B06351">
              <w:rPr>
                <w:w w:val="105"/>
                <w:sz w:val="14"/>
              </w:rPr>
              <w:t xml:space="preserve"> and engaging in dialogue at sessions during the Area Council meeting.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40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41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Every organization’s board leadership has an opportunity for input in the planning meeting through attendance, conference calls or using survey tools.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59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50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765" w:type="dxa"/>
            <w:shd w:val="clear" w:color="auto" w:fill="D9D9D9"/>
          </w:tcPr>
          <w:p w:rsidR="0011663E" w:rsidRDefault="00FC1651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Council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comprehensive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learning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experience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Board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leaders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focus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Board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governance,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resource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development,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financial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management,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resource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management,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priorities</w:t>
            </w:r>
          </w:p>
          <w:p w:rsidR="0011663E" w:rsidRDefault="00FC1651">
            <w:pPr>
              <w:pStyle w:val="TableParagraph"/>
              <w:spacing w:before="16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of the Boys &amp; Girls Club Movement’s Strategic Plan.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40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41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W</w:t>
            </w:r>
            <w:r w:rsidR="00801D9A">
              <w:rPr>
                <w:w w:val="105"/>
                <w:sz w:val="14"/>
              </w:rPr>
              <w:t xml:space="preserve">ell planned business meeting </w:t>
            </w:r>
            <w:r w:rsidR="002B434E">
              <w:rPr>
                <w:w w:val="105"/>
                <w:sz w:val="14"/>
              </w:rPr>
              <w:t>with</w:t>
            </w:r>
            <w:r>
              <w:rPr>
                <w:w w:val="105"/>
                <w:sz w:val="14"/>
              </w:rPr>
              <w:t xml:space="preserve"> printed ballots </w:t>
            </w:r>
            <w:r w:rsidR="002B434E">
              <w:rPr>
                <w:w w:val="105"/>
                <w:sz w:val="14"/>
              </w:rPr>
              <w:t xml:space="preserve">as needed on all business, </w:t>
            </w:r>
            <w:r>
              <w:rPr>
                <w:w w:val="105"/>
                <w:sz w:val="14"/>
              </w:rPr>
              <w:t xml:space="preserve">minutes </w:t>
            </w:r>
            <w:r w:rsidR="002B434E">
              <w:rPr>
                <w:w w:val="105"/>
                <w:sz w:val="14"/>
              </w:rPr>
              <w:t>from previous meeting and treasurers report.  Mi</w:t>
            </w:r>
            <w:r>
              <w:rPr>
                <w:w w:val="105"/>
                <w:sz w:val="14"/>
              </w:rPr>
              <w:t>nutes are stored per the documents retention policy.</w:t>
            </w:r>
            <w:r w:rsidR="002B434E">
              <w:rPr>
                <w:w w:val="105"/>
                <w:sz w:val="14"/>
              </w:rPr>
              <w:t xml:space="preserve">  Only Board Members vote on action items.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40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41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765" w:type="dxa"/>
            <w:shd w:val="clear" w:color="auto" w:fill="D9D9D9"/>
          </w:tcPr>
          <w:p w:rsidR="0011663E" w:rsidRDefault="00FC1651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The leadership of the Area Council and State Alliance conduct joint planning meetings to ensure coordination on all meetings and activities within the state.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178"/>
        </w:trPr>
        <w:tc>
          <w:tcPr>
            <w:tcW w:w="14298" w:type="dxa"/>
            <w:gridSpan w:val="3"/>
            <w:tcBorders>
              <w:left w:val="nil"/>
              <w:bottom w:val="nil"/>
              <w:right w:val="nil"/>
            </w:tcBorders>
            <w:shd w:val="clear" w:color="auto" w:fill="44546A"/>
          </w:tcPr>
          <w:p w:rsidR="0011663E" w:rsidRDefault="00FC1651">
            <w:pPr>
              <w:pStyle w:val="TableParagraph"/>
              <w:spacing w:before="2" w:line="156" w:lineRule="exact"/>
              <w:ind w:left="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Participation</w:t>
            </w:r>
          </w:p>
        </w:tc>
      </w:tr>
      <w:tr w:rsidR="0011663E">
        <w:trPr>
          <w:trHeight w:val="180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1166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5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left="5910" w:right="589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BEST PRACTICE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right="1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Score (1‐5)</w:t>
            </w:r>
          </w:p>
        </w:tc>
      </w:tr>
      <w:tr w:rsidR="0011663E">
        <w:trPr>
          <w:trHeight w:val="359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50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Organization has multiple board leaders actively engaged in Area Council with Chief Executive Officer. Board leaders take initiative and plan continuous learning opportunities for their board members and present</w:t>
            </w:r>
          </w:p>
          <w:p w:rsidR="0011663E" w:rsidRDefault="00FC1651">
            <w:pPr>
              <w:pStyle w:val="TableParagraph"/>
              <w:spacing w:before="16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and interpret Area Council objectives and initiatives to local Boys &amp; Girls Club organization.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40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41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2765" w:type="dxa"/>
            <w:shd w:val="clear" w:color="auto" w:fill="D9D9D9"/>
          </w:tcPr>
          <w:p w:rsidR="0011663E" w:rsidRDefault="00FC1651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100% of the organizations have Board leaders actively participate in the Area Council Annual Meeting. There is a formal agenda; minutes and meeting schedule are provided in advance.</w:t>
            </w:r>
            <w:r w:rsidR="002B434E">
              <w:rPr>
                <w:w w:val="105"/>
                <w:sz w:val="14"/>
              </w:rPr>
              <w:t xml:space="preserve">  100% </w:t>
            </w:r>
            <w:r w:rsidR="005203CC">
              <w:rPr>
                <w:w w:val="105"/>
                <w:sz w:val="14"/>
              </w:rPr>
              <w:t xml:space="preserve">participation </w:t>
            </w:r>
            <w:r w:rsidR="002B434E">
              <w:rPr>
                <w:w w:val="105"/>
                <w:sz w:val="14"/>
              </w:rPr>
              <w:t xml:space="preserve">(5 pts), 90 to 99% (4 pts), 80 to 89% (3 pts), 70 to 79% (2 pts), 60 to 69% (1 </w:t>
            </w:r>
            <w:proofErr w:type="spellStart"/>
            <w:r w:rsidR="002B434E">
              <w:rPr>
                <w:w w:val="105"/>
                <w:sz w:val="14"/>
              </w:rPr>
              <w:t>pt</w:t>
            </w:r>
            <w:proofErr w:type="spellEnd"/>
            <w:r w:rsidR="002B434E">
              <w:rPr>
                <w:w w:val="105"/>
                <w:sz w:val="14"/>
              </w:rPr>
              <w:t>) &lt;59% (0 pts)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40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41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Formal networking/social activities are planned on the agenda for board members. Board members share best practices with other members of the Area Council.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178"/>
        </w:trPr>
        <w:tc>
          <w:tcPr>
            <w:tcW w:w="14298" w:type="dxa"/>
            <w:gridSpan w:val="3"/>
            <w:tcBorders>
              <w:left w:val="nil"/>
              <w:bottom w:val="nil"/>
              <w:right w:val="nil"/>
            </w:tcBorders>
            <w:shd w:val="clear" w:color="auto" w:fill="44546A"/>
          </w:tcPr>
          <w:p w:rsidR="0011663E" w:rsidRDefault="00FC1651">
            <w:pPr>
              <w:pStyle w:val="TableParagraph"/>
              <w:spacing w:before="2" w:line="156" w:lineRule="exact"/>
              <w:ind w:left="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Marketing and Communications</w:t>
            </w:r>
          </w:p>
        </w:tc>
      </w:tr>
      <w:tr w:rsidR="0011663E">
        <w:trPr>
          <w:trHeight w:val="180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1166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5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left="5910" w:right="589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BEST PRACTICE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11663E" w:rsidRDefault="00FC1651">
            <w:pPr>
              <w:pStyle w:val="TableParagraph"/>
              <w:spacing w:before="10" w:line="150" w:lineRule="exact"/>
              <w:ind w:right="1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Score (1‐5)</w:t>
            </w:r>
          </w:p>
        </w:tc>
      </w:tr>
      <w:tr w:rsidR="0011663E">
        <w:trPr>
          <w:trHeight w:val="359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50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2765" w:type="dxa"/>
            <w:shd w:val="clear" w:color="auto" w:fill="D9D9D9"/>
          </w:tcPr>
          <w:p w:rsidR="0011663E" w:rsidRDefault="00FC1651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The Area Council Chair, Executive Secretary, and Director of Organizational Development communicate on a monthly basis. The Area Council leadership communicates to all members through emails,</w:t>
            </w:r>
          </w:p>
          <w:p w:rsidR="0011663E" w:rsidRDefault="00FC1651">
            <w:pPr>
              <w:pStyle w:val="TableParagraph"/>
              <w:spacing w:before="16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newsletters, and phone calls on a quarterly b</w:t>
            </w:r>
            <w:r w:rsidR="00917FD8">
              <w:rPr>
                <w:w w:val="105"/>
                <w:sz w:val="14"/>
              </w:rPr>
              <w:t>asis. The Area Council’s communications contain</w:t>
            </w:r>
            <w:r>
              <w:rPr>
                <w:w w:val="105"/>
                <w:sz w:val="14"/>
              </w:rPr>
              <w:t xml:space="preserve"> essential, accurate information about Area Council ac</w:t>
            </w:r>
            <w:r w:rsidR="00BF5B89">
              <w:rPr>
                <w:w w:val="105"/>
                <w:sz w:val="14"/>
              </w:rPr>
              <w:t>tivities that is updated regularly</w:t>
            </w:r>
            <w:r>
              <w:rPr>
                <w:w w:val="105"/>
                <w:sz w:val="14"/>
              </w:rPr>
              <w:t>.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340"/>
        </w:trPr>
        <w:tc>
          <w:tcPr>
            <w:tcW w:w="494" w:type="dxa"/>
          </w:tcPr>
          <w:p w:rsidR="0011663E" w:rsidRDefault="00FC1651">
            <w:pPr>
              <w:pStyle w:val="TableParagraph"/>
              <w:spacing w:before="41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2765" w:type="dxa"/>
          </w:tcPr>
          <w:p w:rsidR="0011663E" w:rsidRDefault="00FC1651">
            <w:pPr>
              <w:pStyle w:val="TableParagraph"/>
              <w:spacing w:before="86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 xml:space="preserve">The Area Council </w:t>
            </w:r>
            <w:r w:rsidR="005203CC">
              <w:rPr>
                <w:w w:val="105"/>
                <w:sz w:val="14"/>
              </w:rPr>
              <w:t xml:space="preserve">leadership </w:t>
            </w:r>
            <w:r>
              <w:rPr>
                <w:w w:val="105"/>
                <w:sz w:val="14"/>
              </w:rPr>
              <w:t>communicates to the National Area Council Committee member on a quarterly basis and actively engages them in the planning and annual meetings.</w:t>
            </w:r>
          </w:p>
        </w:tc>
        <w:tc>
          <w:tcPr>
            <w:tcW w:w="1039" w:type="dxa"/>
            <w:shd w:val="clear" w:color="auto" w:fill="FFF2CC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663E">
        <w:trPr>
          <w:trHeight w:val="546"/>
        </w:trPr>
        <w:tc>
          <w:tcPr>
            <w:tcW w:w="494" w:type="dxa"/>
            <w:shd w:val="clear" w:color="auto" w:fill="D9D9D9"/>
          </w:tcPr>
          <w:p w:rsidR="0011663E" w:rsidRDefault="00FC1651">
            <w:pPr>
              <w:pStyle w:val="TableParagraph"/>
              <w:spacing w:before="144"/>
              <w:ind w:left="120" w:right="10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2765" w:type="dxa"/>
            <w:shd w:val="clear" w:color="auto" w:fill="D9D9D9"/>
          </w:tcPr>
          <w:p w:rsidR="0011663E" w:rsidRDefault="00BF5B89">
            <w:pPr>
              <w:pStyle w:val="TableParagraph"/>
              <w:spacing w:before="95" w:line="264" w:lineRule="auto"/>
              <w:ind w:left="25" w:hanging="2"/>
              <w:rPr>
                <w:sz w:val="14"/>
              </w:rPr>
            </w:pPr>
            <w:r>
              <w:rPr>
                <w:w w:val="105"/>
                <w:sz w:val="14"/>
              </w:rPr>
              <w:t xml:space="preserve">The </w:t>
            </w:r>
            <w:r w:rsidR="00FC1651">
              <w:rPr>
                <w:w w:val="105"/>
                <w:sz w:val="14"/>
              </w:rPr>
              <w:t>Area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Counci</w:t>
            </w:r>
            <w:r>
              <w:rPr>
                <w:w w:val="105"/>
                <w:sz w:val="14"/>
              </w:rPr>
              <w:t>l</w:t>
            </w:r>
            <w:r w:rsidR="00FC1651">
              <w:rPr>
                <w:spacing w:val="-9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is</w:t>
            </w:r>
            <w:r w:rsidR="00FC1651">
              <w:rPr>
                <w:spacing w:val="-10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focused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on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recognition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of</w:t>
            </w:r>
            <w:r w:rsidR="00FC1651">
              <w:rPr>
                <w:spacing w:val="-9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its</w:t>
            </w:r>
            <w:r w:rsidR="00FC1651">
              <w:rPr>
                <w:spacing w:val="-9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local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members.</w:t>
            </w:r>
            <w:r w:rsidR="00FC1651">
              <w:rPr>
                <w:spacing w:val="-9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The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Area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Council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makes</w:t>
            </w:r>
            <w:r w:rsidR="00FC1651">
              <w:rPr>
                <w:spacing w:val="-10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application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for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E.L.</w:t>
            </w:r>
            <w:r w:rsidR="00FC1651">
              <w:rPr>
                <w:spacing w:val="-9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McKenzie,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Clement</w:t>
            </w:r>
            <w:r w:rsidR="00FC1651">
              <w:rPr>
                <w:spacing w:val="-9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Stone,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Area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Council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Liaison,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8"/>
                <w:w w:val="105"/>
                <w:sz w:val="14"/>
              </w:rPr>
              <w:t xml:space="preserve">Board Member of the year, </w:t>
            </w:r>
            <w:r w:rsidR="00FC1651">
              <w:rPr>
                <w:w w:val="105"/>
                <w:sz w:val="14"/>
              </w:rPr>
              <w:t>Jeremiah</w:t>
            </w:r>
            <w:r w:rsidR="00FC1651">
              <w:rPr>
                <w:spacing w:val="-8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Milbank</w:t>
            </w:r>
            <w:r w:rsidR="00E7704E">
              <w:rPr>
                <w:w w:val="105"/>
                <w:sz w:val="14"/>
              </w:rPr>
              <w:t xml:space="preserve"> and </w:t>
            </w:r>
            <w:r>
              <w:rPr>
                <w:spacing w:val="-8"/>
                <w:w w:val="105"/>
                <w:sz w:val="14"/>
              </w:rPr>
              <w:t xml:space="preserve">years of service </w:t>
            </w:r>
            <w:r w:rsidR="00FC1651">
              <w:rPr>
                <w:w w:val="105"/>
                <w:sz w:val="14"/>
              </w:rPr>
              <w:t>as appropriate.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The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council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presents</w:t>
            </w:r>
            <w:r w:rsidR="00FC1651">
              <w:rPr>
                <w:spacing w:val="-4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minimum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of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3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awards</w:t>
            </w:r>
            <w:r w:rsidR="00FC1651">
              <w:rPr>
                <w:spacing w:val="-4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annually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as</w:t>
            </w:r>
            <w:r w:rsidR="00FC1651">
              <w:rPr>
                <w:spacing w:val="-4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part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of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its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strategy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which may include their own Hall of Fame recognition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at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its</w:t>
            </w:r>
            <w:r w:rsidR="00FC1651">
              <w:rPr>
                <w:spacing w:val="-4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annual</w:t>
            </w:r>
            <w:r w:rsidR="00FC1651">
              <w:rPr>
                <w:spacing w:val="-3"/>
                <w:w w:val="105"/>
                <w:sz w:val="14"/>
              </w:rPr>
              <w:t xml:space="preserve"> </w:t>
            </w:r>
            <w:r w:rsidR="00FC1651">
              <w:rPr>
                <w:w w:val="105"/>
                <w:sz w:val="14"/>
              </w:rPr>
              <w:t>meeting.</w:t>
            </w:r>
            <w:r>
              <w:rPr>
                <w:w w:val="105"/>
                <w:sz w:val="14"/>
              </w:rPr>
              <w:t xml:space="preserve">  </w:t>
            </w:r>
          </w:p>
        </w:tc>
        <w:tc>
          <w:tcPr>
            <w:tcW w:w="1039" w:type="dxa"/>
            <w:shd w:val="clear" w:color="auto" w:fill="FFE69A"/>
          </w:tcPr>
          <w:p w:rsidR="0011663E" w:rsidRDefault="001166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1663E" w:rsidRDefault="0081591A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111125</wp:posOffset>
                </wp:positionV>
                <wp:extent cx="9080500" cy="233680"/>
                <wp:effectExtent l="12700" t="0" r="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233680"/>
                          <a:chOff x="773" y="175"/>
                          <a:chExt cx="14300" cy="368"/>
                        </a:xfrm>
                      </wpg:grpSpPr>
                      <wps:wsp>
                        <wps:cNvPr id="3" name="Rectangle 8"/>
                        <wps:cNvSpPr>
                          <a:spLocks/>
                        </wps:cNvSpPr>
                        <wps:spPr bwMode="auto">
                          <a:xfrm>
                            <a:off x="772" y="180"/>
                            <a:ext cx="14295" cy="358"/>
                          </a:xfrm>
                          <a:prstGeom prst="rect">
                            <a:avLst/>
                          </a:prstGeom>
                          <a:solidFill>
                            <a:srgbClr val="FFD9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14027" y="17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5066" y="187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4033" y="181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14033" y="536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772" y="180"/>
                            <a:ext cx="1429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63E" w:rsidRDefault="00FC1651">
                              <w:pPr>
                                <w:spacing w:before="9"/>
                                <w:ind w:right="1080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65pt;margin-top:8.75pt;width:715pt;height:18.4pt;z-index:1096;mso-wrap-distance-left:0;mso-wrap-distance-right:0;mso-position-horizontal-relative:page" coordorigin="773,175" coordsize="1430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">
                <v:rect id="Rectangle 8" o:spid="_x0000_s1027" style="position:absolute;left:772;top:180;width:1429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9hMQA&#10;AADaAAAADwAAAGRycy9kb3ducmV2LnhtbESPQWvCQBSE74L/YXmFXqRutCAhdQ1FCBR7UnPQ22v2&#10;NQlm36bZNYn/3i0IHoeZ+YZZp6NpRE+dqy0rWMwjEMSF1TWXCvJj9haDcB5ZY2OZFNzIQbqZTtaY&#10;aDvwnvqDL0WAsEtQQeV9m0jpiooMurltiYP3azuDPsiulLrDIcBNI5dRtJIGaw4LFba0rai4HK5G&#10;QXy87GY6X8Q/p5vMv7Pz6k8uUanXl/HzA4Sn0T/Dj/aXVvAO/1fCD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fYTEAAAA2gAAAA8AAAAAAAAAAAAAAAAAmAIAAGRycy9k&#10;b3ducmV2LnhtbFBLBQYAAAAABAAEAPUAAACJAwAAAAA=&#10;" fillcolor="#ffd965" stroked="f">
                  <v:path arrowok="t"/>
                </v:rect>
                <v:line id="Line 7" o:spid="_x0000_s1028" style="position:absolute;visibility:visible;mso-wrap-style:square" from="14027,175" to="14027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qZcEAAADaAAAADwAAAGRycy9kb3ducmV2LnhtbESPQYvCMBSE74L/ITzBm6ZWEbfbVEQU&#10;PKor7B4fzbMt27yUJrb135uFBY/DzHzDpNvB1KKj1lWWFSzmEQji3OqKCwW3r+NsA8J5ZI21ZVLw&#10;JAfbbDxKMdG25wt1V1+IAGGXoILS+yaR0uUlGXRz2xAH725bgz7ItpC6xT7ATS3jKFpLgxWHhRIb&#10;2peU/14fRsHhfuvi+GPjlra5mO/zT//c1WelppNh9wnC0+Df4f/2SStYwd+VcA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uplwQAAANoAAAAPAAAAAAAAAAAAAAAA&#10;AKECAABkcnMvZG93bnJldi54bWxQSwUGAAAAAAQABAD5AAAAjwMAAAAA&#10;" strokecolor="#bfbfbf" strokeweight=".6pt">
                  <o:lock v:ext="edit" shapetype="f"/>
                </v:line>
                <v:line id="Line 6" o:spid="_x0000_s1029" style="position:absolute;visibility:visible;mso-wrap-style:square" from="15066,187" to="1506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5P/sEAAADaAAAADwAAAGRycy9kb3ducmV2LnhtbESPQYvCMBSE74L/ITzBm6ZWFLfbVEQU&#10;PKor7B4fzbMt27yUJrb135uFBY/DzHzDpNvB1KKj1lWWFSzmEQji3OqKCwW3r+NsA8J5ZI21ZVLw&#10;JAfbbDxKMdG25wt1V1+IAGGXoILS+yaR0uUlGXRz2xAH725bgz7ItpC6xT7ATS3jKFpLgxWHhRIb&#10;2peU/14fRsHhfuvi+GPjlra5mO/zT//c1WelppNh9wnC0+Df4f/2SStYwd+VcA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/k/+wQAAANoAAAAPAAAAAAAAAAAAAAAA&#10;AKECAABkcnMvZG93bnJldi54bWxQSwUGAAAAAAQABAD5AAAAjwMAAAAA&#10;" strokecolor="#bfbfbf" strokeweight=".6pt">
                  <o:lock v:ext="edit" shapetype="f"/>
                </v:line>
                <v:line id="Line 5" o:spid="_x0000_s1030" style="position:absolute;visibility:visible;mso-wrap-style:square" from="14033,181" to="1507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zRicIAAADaAAAADwAAAGRycy9kb3ducmV2LnhtbESPT4vCMBTE74LfITxhb5puBdFuUxFR&#10;8Oifgnt8NM+2bPNSmtjWb79ZWPA4zMxvmHQ7mkb01LnasoLPRQSCuLC65lJBfjvO1yCcR9bYWCYF&#10;L3KwzaaTFBNtB75Qf/WlCBB2CSqovG8TKV1RkUG3sC1x8B62M+iD7EqpOxwC3DQyjqKVNFhzWKiw&#10;pX1Fxc/1aRQcHnkfx5u1W9r2Yu7n7+G1a85KfczG3RcIT6N/h//bJ61gBX9Xw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zRicIAAADaAAAADwAAAAAAAAAAAAAA&#10;AAChAgAAZHJzL2Rvd25yZXYueG1sUEsFBgAAAAAEAAQA+QAAAJADAAAAAA==&#10;" strokecolor="#bfbfbf" strokeweight=".6pt">
                  <o:lock v:ext="edit" shapetype="f"/>
                </v:line>
                <v:line id="Line 4" o:spid="_x0000_s1031" style="position:absolute;visibility:visible;mso-wrap-style:square" from="14033,536" to="15072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0EsEAAADaAAAADwAAAGRycy9kb3ducmV2LnhtbESPQYvCMBSE74L/ITzBm6ZWULfbVEQU&#10;PKor7B4fzbMt27yUJrb135uFBY/DzHzDpNvB1KKj1lWWFSzmEQji3OqKCwW3r+NsA8J5ZI21ZVLw&#10;JAfbbDxKMdG25wt1V1+IAGGXoILS+yaR0uUlGXRz2xAH725bgz7ItpC6xT7ATS3jKFpJgxWHhRIb&#10;2peU/14fRsHhfuvi+GPjlra5mO/zT//c1WelppNh9wnC0+Df4f/2SStYw9+VcA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HQSwQAAANoAAAAPAAAAAAAAAAAAAAAA&#10;AKECAABkcnMvZG93bnJldi54bWxQSwUGAAAAAAQABAD5AAAAjwMAAAAA&#10;" strokecolor="#bfbfbf" strokeweight=".6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772;top:180;width:1429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gk78A&#10;AADaAAAADwAAAGRycy9kb3ducmV2LnhtbERPy2oCMRTdF/yHcAV3NaNgK6NRRJEWShe+wOVlcp0M&#10;Tm6GJB3j3zeLQpeH816uk21FTz40jhVMxgUI4srphmsF59P+dQ4iRGSNrWNS8KQA69XgZYmldg8+&#10;UH+MtcghHEpUYGLsSilDZchiGLuOOHM35y3GDH0ttcdHDretnBbFm7TYcG4w2NHWUHU//lgFl223&#10;/0pXg9/9TH/spu+Hp6+SUqNh2ixARErxX/zn/tQK8tZ8Jd8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qCTvwAAANoAAAAPAAAAAAAAAAAAAAAAAJgCAABkcnMvZG93bnJl&#10;di54bWxQSwUGAAAAAAQABAD1AAAAhAMAAAAA&#10;" filled="f" stroked="f">
                  <v:path arrowok="t"/>
                  <v:textbox inset="0,0,0,0">
                    <w:txbxContent>
                      <w:p w:rsidR="0011663E" w:rsidRDefault="00FC1651">
                        <w:pPr>
                          <w:spacing w:before="9"/>
                          <w:ind w:right="1080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63E" w:rsidRDefault="0011663E">
      <w:pPr>
        <w:pStyle w:val="BodyText"/>
        <w:spacing w:before="8"/>
        <w:rPr>
          <w:b/>
          <w:sz w:val="6"/>
        </w:rPr>
      </w:pPr>
    </w:p>
    <w:p w:rsidR="0011663E" w:rsidRDefault="0011663E">
      <w:pPr>
        <w:rPr>
          <w:sz w:val="6"/>
        </w:rPr>
        <w:sectPr w:rsidR="0011663E">
          <w:type w:val="continuous"/>
          <w:pgSz w:w="15840" w:h="12240" w:orient="landscape"/>
          <w:pgMar w:top="380" w:right="660" w:bottom="0" w:left="240" w:header="720" w:footer="720" w:gutter="0"/>
          <w:cols w:space="720"/>
        </w:sectPr>
      </w:pPr>
    </w:p>
    <w:p w:rsidR="0011663E" w:rsidRDefault="0011663E">
      <w:pPr>
        <w:pStyle w:val="BodyText"/>
        <w:rPr>
          <w:b/>
        </w:rPr>
      </w:pPr>
    </w:p>
    <w:p w:rsidR="0011663E" w:rsidRDefault="0011663E">
      <w:pPr>
        <w:pStyle w:val="BodyText"/>
        <w:spacing w:before="11"/>
        <w:rPr>
          <w:b/>
          <w:sz w:val="14"/>
        </w:rPr>
      </w:pPr>
    </w:p>
    <w:p w:rsidR="0011663E" w:rsidRDefault="00FC1651">
      <w:pPr>
        <w:pStyle w:val="BodyText"/>
        <w:spacing w:line="252" w:lineRule="auto"/>
        <w:ind w:left="3337"/>
        <w:jc w:val="both"/>
        <w:rPr>
          <w:color w:val="2F75B5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225113</wp:posOffset>
            </wp:positionH>
            <wp:positionV relativeFrom="paragraph">
              <wp:posOffset>-232258</wp:posOffset>
            </wp:positionV>
            <wp:extent cx="1929854" cy="10975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854" cy="109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75B5"/>
        </w:rPr>
        <w:t xml:space="preserve">This scoresheet is intended for a quick and basic Area Council assessment. To complete </w:t>
      </w:r>
      <w:proofErr w:type="gramStart"/>
      <w:r>
        <w:rPr>
          <w:color w:val="2F75B5"/>
        </w:rPr>
        <w:t>a  more</w:t>
      </w:r>
      <w:proofErr w:type="gramEnd"/>
      <w:r>
        <w:rPr>
          <w:color w:val="2F75B5"/>
        </w:rPr>
        <w:t xml:space="preserve"> detailed assessment, please ask your DOD or NACC representative for the Area Council Standards of Excellence</w:t>
      </w:r>
      <w:r>
        <w:rPr>
          <w:color w:val="2F75B5"/>
          <w:spacing w:val="-2"/>
        </w:rPr>
        <w:t xml:space="preserve"> </w:t>
      </w:r>
      <w:r>
        <w:rPr>
          <w:color w:val="2F75B5"/>
        </w:rPr>
        <w:t>document.</w:t>
      </w:r>
    </w:p>
    <w:p w:rsidR="00087E3A" w:rsidRDefault="00087E3A">
      <w:pPr>
        <w:pStyle w:val="BodyText"/>
        <w:spacing w:line="252" w:lineRule="auto"/>
        <w:ind w:left="3337"/>
        <w:jc w:val="both"/>
        <w:rPr>
          <w:color w:val="2F75B5"/>
        </w:rPr>
      </w:pPr>
    </w:p>
    <w:p w:rsidR="00087E3A" w:rsidRDefault="00087E3A">
      <w:pPr>
        <w:pStyle w:val="BodyText"/>
        <w:spacing w:line="252" w:lineRule="auto"/>
        <w:ind w:left="3337"/>
        <w:jc w:val="both"/>
      </w:pPr>
      <w:r>
        <w:rPr>
          <w:color w:val="2F75B5"/>
        </w:rPr>
        <w:t xml:space="preserve">                            Draft #2 7/21/</w:t>
      </w:r>
      <w:proofErr w:type="gramStart"/>
      <w:r>
        <w:rPr>
          <w:color w:val="2F75B5"/>
        </w:rPr>
        <w:t>2018  1:30</w:t>
      </w:r>
      <w:proofErr w:type="gramEnd"/>
      <w:r>
        <w:rPr>
          <w:color w:val="2F75B5"/>
        </w:rPr>
        <w:t xml:space="preserve"> PM</w:t>
      </w:r>
      <w:r w:rsidR="00E7704E">
        <w:rPr>
          <w:color w:val="2F75B5"/>
        </w:rPr>
        <w:t xml:space="preserve"> CST</w:t>
      </w:r>
    </w:p>
    <w:p w:rsidR="0011663E" w:rsidRDefault="00FC1651">
      <w:pPr>
        <w:spacing w:before="74"/>
        <w:ind w:left="1772"/>
        <w:rPr>
          <w:b/>
          <w:sz w:val="15"/>
        </w:rPr>
      </w:pPr>
      <w:r>
        <w:br w:type="column"/>
      </w:r>
      <w:r>
        <w:rPr>
          <w:b/>
          <w:w w:val="105"/>
          <w:sz w:val="15"/>
          <w:u w:val="single"/>
        </w:rPr>
        <w:t>TOTAL SCORE</w:t>
      </w:r>
    </w:p>
    <w:p w:rsidR="0011663E" w:rsidRDefault="00FC1651">
      <w:pPr>
        <w:tabs>
          <w:tab w:val="left" w:pos="2804"/>
          <w:tab w:val="left" w:pos="3023"/>
        </w:tabs>
        <w:spacing w:before="14" w:line="259" w:lineRule="auto"/>
        <w:ind w:left="114" w:right="444" w:firstLine="443"/>
        <w:jc w:val="right"/>
        <w:rPr>
          <w:sz w:val="15"/>
        </w:rPr>
      </w:pPr>
      <w:r>
        <w:rPr>
          <w:w w:val="105"/>
          <w:sz w:val="15"/>
        </w:rPr>
        <w:t>Gold Star ‐ Top of</w:t>
      </w:r>
      <w:r>
        <w:rPr>
          <w:spacing w:val="-16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Movement</w:t>
      </w:r>
      <w:r>
        <w:rPr>
          <w:w w:val="105"/>
          <w:sz w:val="15"/>
        </w:rPr>
        <w:tab/>
      </w:r>
      <w:r>
        <w:rPr>
          <w:w w:val="105"/>
          <w:sz w:val="15"/>
        </w:rPr>
        <w:tab/>
      </w:r>
      <w:r>
        <w:rPr>
          <w:sz w:val="15"/>
        </w:rPr>
        <w:t xml:space="preserve">81‐90 </w:t>
      </w:r>
      <w:r>
        <w:rPr>
          <w:w w:val="105"/>
          <w:sz w:val="15"/>
        </w:rPr>
        <w:t>Silver Star ‐ Doing well but not</w:t>
      </w:r>
      <w:r>
        <w:rPr>
          <w:spacing w:val="-22"/>
          <w:w w:val="105"/>
          <w:sz w:val="15"/>
        </w:rPr>
        <w:t xml:space="preserve"> </w:t>
      </w:r>
      <w:r>
        <w:rPr>
          <w:w w:val="105"/>
          <w:sz w:val="15"/>
        </w:rPr>
        <w:t>there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yet</w:t>
      </w:r>
      <w:r>
        <w:rPr>
          <w:w w:val="105"/>
          <w:sz w:val="15"/>
        </w:rPr>
        <w:tab/>
      </w:r>
      <w:r>
        <w:rPr>
          <w:w w:val="105"/>
          <w:sz w:val="15"/>
        </w:rPr>
        <w:tab/>
      </w:r>
      <w:r>
        <w:rPr>
          <w:sz w:val="15"/>
        </w:rPr>
        <w:t xml:space="preserve">63‐80 </w:t>
      </w:r>
      <w:r>
        <w:rPr>
          <w:w w:val="105"/>
          <w:sz w:val="15"/>
        </w:rPr>
        <w:t>Participation Award ‐ But work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w w:val="105"/>
          <w:sz w:val="15"/>
        </w:rPr>
        <w:tab/>
      </w:r>
      <w:r>
        <w:rPr>
          <w:sz w:val="15"/>
        </w:rPr>
        <w:t>36‐63</w:t>
      </w:r>
    </w:p>
    <w:p w:rsidR="0011663E" w:rsidRDefault="00FC1651">
      <w:pPr>
        <w:tabs>
          <w:tab w:val="left" w:pos="2914"/>
        </w:tabs>
        <w:spacing w:line="180" w:lineRule="exact"/>
        <w:ind w:left="1566"/>
        <w:rPr>
          <w:sz w:val="15"/>
        </w:rPr>
      </w:pPr>
      <w:r>
        <w:rPr>
          <w:w w:val="105"/>
          <w:sz w:val="15"/>
        </w:rPr>
        <w:t>Much work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w w:val="105"/>
          <w:sz w:val="15"/>
        </w:rPr>
        <w:tab/>
        <w:t>Below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36</w:t>
      </w:r>
    </w:p>
    <w:sectPr w:rsidR="0011663E">
      <w:type w:val="continuous"/>
      <w:pgSz w:w="15840" w:h="12240" w:orient="landscape"/>
      <w:pgMar w:top="380" w:right="660" w:bottom="0" w:left="240" w:header="720" w:footer="720" w:gutter="0"/>
      <w:cols w:num="2" w:space="720" w:equalWidth="0">
        <w:col w:w="11040" w:space="65"/>
        <w:col w:w="38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E"/>
    <w:rsid w:val="00087E3A"/>
    <w:rsid w:val="0011663E"/>
    <w:rsid w:val="001D09BA"/>
    <w:rsid w:val="002B434E"/>
    <w:rsid w:val="005203CC"/>
    <w:rsid w:val="00801D9A"/>
    <w:rsid w:val="0081591A"/>
    <w:rsid w:val="00917FD8"/>
    <w:rsid w:val="00B06351"/>
    <w:rsid w:val="00BF5B89"/>
    <w:rsid w:val="00BF6F0E"/>
    <w:rsid w:val="00E7704E"/>
    <w:rsid w:val="00F427A7"/>
    <w:rsid w:val="00FC1651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75A6"/>
  <w15:docId w15:val="{867F66D1-78D6-DB41-950B-D970A4CA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0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344AF35FFE4998592586542972CA" ma:contentTypeVersion="14" ma:contentTypeDescription="Create a new document." ma:contentTypeScope="" ma:versionID="35c873b97bc2b3591d0e5b4e011558ce">
  <xsd:schema xmlns:xsd="http://www.w3.org/2001/XMLSchema" xmlns:xs="http://www.w3.org/2001/XMLSchema" xmlns:p="http://schemas.microsoft.com/office/2006/metadata/properties" xmlns:ns1="http://schemas.microsoft.com/sharepoint/v3" xmlns:ns2="f6fe0258-c48e-4651-954c-bcedfc9c643f" xmlns:ns3="194e6653-3ce6-427d-b1d4-1d6ef135bd8e" targetNamespace="http://schemas.microsoft.com/office/2006/metadata/properties" ma:root="true" ma:fieldsID="4bca2bdfdc618f99654f43f9ada9f078" ns1:_="" ns2:_="" ns3:_="">
    <xsd:import namespace="http://schemas.microsoft.com/sharepoint/v3"/>
    <xsd:import namespace="f6fe0258-c48e-4651-954c-bcedfc9c643f"/>
    <xsd:import namespace="194e6653-3ce6-427d-b1d4-1d6ef135b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e0258-c48e-4651-954c-bcedfc9c6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6653-3ce6-427d-b1d4-1d6ef135b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94e6653-3ce6-427d-b1d4-1d6ef135bd8e">
      <UserInfo>
        <DisplayName>DeAuntre Washington</DisplayName>
        <AccountId>82</AccountId>
        <AccountType/>
      </UserInfo>
      <UserInfo>
        <DisplayName>Kip Koso</DisplayName>
        <AccountId>3880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8C5DBE-29E3-4F04-A136-6BEDC088D3CD}"/>
</file>

<file path=customXml/itemProps2.xml><?xml version="1.0" encoding="utf-8"?>
<ds:datastoreItem xmlns:ds="http://schemas.openxmlformats.org/officeDocument/2006/customXml" ds:itemID="{5F2F076C-B981-45B8-A264-639CAD181360}"/>
</file>

<file path=customXml/itemProps3.xml><?xml version="1.0" encoding="utf-8"?>
<ds:datastoreItem xmlns:ds="http://schemas.openxmlformats.org/officeDocument/2006/customXml" ds:itemID="{8213C90E-12AC-4830-8D0A-CF41B2859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Council Best Practices Score SheeTESTt.xlsx</vt:lpstr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Council Best Practices Score SheeTESTt.xlsx</dc:title>
  <dc:creator>RHinchee</dc:creator>
  <cp:lastModifiedBy>jim@jimfranklin.us</cp:lastModifiedBy>
  <cp:revision>2</cp:revision>
  <cp:lastPrinted>2018-11-13T20:27:00Z</cp:lastPrinted>
  <dcterms:created xsi:type="dcterms:W3CDTF">2018-07-21T18:55:00Z</dcterms:created>
  <dcterms:modified xsi:type="dcterms:W3CDTF">2018-07-21T18:55:00Z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2018-07-21T00:00:00Z</vt:filetime>
  </property>
  <property fmtid="{D5CDD505-2E9C-101B-9397-08002B2CF9AE}" pid="5" name="ContentTypeId">
    <vt:lpwstr>0x0101001EA5344AF35FFE4998592586542972CA</vt:lpwstr>
  </property>
</Properties>
</file>